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1D" w:rsidRPr="004B00DD" w:rsidRDefault="0035791D"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35791D" w:rsidRPr="004B00DD" w:rsidRDefault="0035791D"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35791D" w:rsidRDefault="0035791D" w:rsidP="004B00DD">
      <w:r w:rsidRPr="004B00DD">
        <w:t xml:space="preserve">The Creative Commons license does not extend to logos, trade marks, or service marks of Carnegie Mellon University.  </w:t>
      </w:r>
    </w:p>
    <w:p w:rsidR="0035791D" w:rsidRDefault="0035791D"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35791D" w:rsidRDefault="0035791D" w:rsidP="004B00DD"/>
    <w:p w:rsidR="0035791D" w:rsidRPr="004B00DD" w:rsidRDefault="0035791D" w:rsidP="004B00DD"/>
    <w:p w:rsidR="0035791D" w:rsidRDefault="0035791D">
      <w:r>
        <w:tab/>
      </w:r>
      <w:r>
        <w:tab/>
      </w:r>
      <w:r>
        <w:tab/>
      </w:r>
      <w:r>
        <w:tab/>
      </w:r>
      <w:r>
        <w:tab/>
      </w:r>
      <w:r>
        <w:tab/>
      </w:r>
      <w:r>
        <w:tab/>
      </w:r>
      <w:r>
        <w:tab/>
      </w:r>
      <w:r>
        <w:tab/>
      </w:r>
      <w:r>
        <w:tab/>
      </w:r>
      <w:r>
        <w:tab/>
      </w:r>
    </w:p>
    <w:p w:rsidR="0035791D" w:rsidRDefault="0035791D">
      <w:pPr>
        <w:rPr>
          <w:sz w:val="32"/>
        </w:rPr>
      </w:pPr>
      <w:bookmarkStart w:id="0" w:name="_GoBack"/>
      <w:bookmarkEnd w:id="0"/>
      <w:r>
        <w:rPr>
          <w:sz w:val="32"/>
        </w:rPr>
        <w:br w:type="page"/>
      </w:r>
    </w:p>
    <w:p w:rsidR="00DA1C10" w:rsidRPr="00B03457" w:rsidRDefault="00DA1C10" w:rsidP="00D62AA5">
      <w:pPr>
        <w:spacing w:after="400"/>
        <w:rPr>
          <w:sz w:val="32"/>
        </w:rPr>
      </w:pPr>
      <w:r w:rsidRPr="00B03457">
        <w:rPr>
          <w:sz w:val="32"/>
        </w:rPr>
        <w:lastRenderedPageBreak/>
        <w:t>TSP Planning Guidelines</w:t>
      </w:r>
    </w:p>
    <w:tbl>
      <w:tblPr>
        <w:tblW w:w="0" w:type="auto"/>
        <w:tblBorders>
          <w:top w:val="single" w:sz="4" w:space="0" w:color="548DD4" w:themeColor="text2" w:themeTint="99"/>
          <w:bottom w:val="single" w:sz="4" w:space="0" w:color="548DD4" w:themeColor="text2" w:themeTint="99"/>
          <w:insideH w:val="single" w:sz="4" w:space="0" w:color="548DD4" w:themeColor="text2" w:themeTint="99"/>
        </w:tblBorders>
        <w:tblLayout w:type="fixed"/>
        <w:tblLook w:val="0000" w:firstRow="0" w:lastRow="0" w:firstColumn="0" w:lastColumn="0" w:noHBand="0" w:noVBand="0"/>
      </w:tblPr>
      <w:tblGrid>
        <w:gridCol w:w="2304"/>
        <w:gridCol w:w="7884"/>
      </w:tblGrid>
      <w:tr w:rsidR="00DA1C10" w:rsidTr="00B03457">
        <w:trPr>
          <w:cantSplit/>
        </w:trPr>
        <w:tc>
          <w:tcPr>
            <w:tcW w:w="2304" w:type="dxa"/>
          </w:tcPr>
          <w:p w:rsidR="00DA1C10" w:rsidRPr="00B03457" w:rsidRDefault="00DA1C10" w:rsidP="00B03457">
            <w:pPr>
              <w:spacing w:before="60" w:after="60"/>
              <w:rPr>
                <w:b/>
              </w:rPr>
            </w:pPr>
            <w:r w:rsidRPr="00B03457">
              <w:rPr>
                <w:b/>
              </w:rPr>
              <w:t>General</w:t>
            </w:r>
          </w:p>
        </w:tc>
        <w:tc>
          <w:tcPr>
            <w:tcW w:w="7884" w:type="dxa"/>
          </w:tcPr>
          <w:p w:rsidR="00DA1C10" w:rsidRDefault="00DA1C10" w:rsidP="00B03457">
            <w:pPr>
              <w:spacing w:before="60" w:after="60"/>
            </w:pPr>
            <w:r>
              <w:t xml:space="preserve">If your team does not have historical data, use these guidelines </w:t>
            </w:r>
            <w:r w:rsidR="0065121D">
              <w:t>to support your planning. As you accumulate historical TSP data, develop guidelines that reflect your team’s performance.</w:t>
            </w:r>
          </w:p>
          <w:p w:rsidR="00DA1C10" w:rsidRDefault="00DA1C10" w:rsidP="0065121D">
            <w:pPr>
              <w:spacing w:before="60" w:after="60"/>
            </w:pPr>
            <w:r>
              <w:t xml:space="preserve">In all cases, use your </w:t>
            </w:r>
            <w:r w:rsidR="007C7983">
              <w:t>judgment</w:t>
            </w:r>
            <w:r>
              <w:t xml:space="preserve">.  If </w:t>
            </w:r>
            <w:r w:rsidR="0065121D">
              <w:t>a guideline</w:t>
            </w:r>
            <w:r>
              <w:t xml:space="preserve"> does not fit your </w:t>
            </w:r>
            <w:r w:rsidR="0065121D">
              <w:t>situation</w:t>
            </w:r>
            <w:r>
              <w:t xml:space="preserve">, </w:t>
            </w:r>
            <w:r w:rsidR="0065121D">
              <w:t>develop your own estimate instead.</w:t>
            </w:r>
          </w:p>
        </w:tc>
      </w:tr>
      <w:tr w:rsidR="00DA1C10" w:rsidTr="0090542B">
        <w:trPr>
          <w:cantSplit/>
        </w:trPr>
        <w:tc>
          <w:tcPr>
            <w:tcW w:w="2304" w:type="dxa"/>
            <w:tcBorders>
              <w:bottom w:val="single" w:sz="24" w:space="0" w:color="548DD4" w:themeColor="text2" w:themeTint="99"/>
            </w:tcBorders>
          </w:tcPr>
          <w:p w:rsidR="00DA1C10" w:rsidRPr="00B03457" w:rsidRDefault="00DA1C10" w:rsidP="00B03457">
            <w:pPr>
              <w:spacing w:before="60" w:after="60"/>
              <w:rPr>
                <w:b/>
                <w:i/>
              </w:rPr>
            </w:pPr>
            <w:r w:rsidRPr="00B03457">
              <w:rPr>
                <w:b/>
              </w:rPr>
              <w:t>TSP Plans</w:t>
            </w:r>
          </w:p>
        </w:tc>
        <w:tc>
          <w:tcPr>
            <w:tcW w:w="7884" w:type="dxa"/>
            <w:tcBorders>
              <w:bottom w:val="single" w:sz="24" w:space="0" w:color="548DD4" w:themeColor="text2" w:themeTint="99"/>
            </w:tcBorders>
          </w:tcPr>
          <w:p w:rsidR="00DA1C10" w:rsidRDefault="0090542B" w:rsidP="0090542B">
            <w:pPr>
              <w:pStyle w:val="ListParagraph"/>
              <w:numPr>
                <w:ilvl w:val="0"/>
                <w:numId w:val="4"/>
              </w:numPr>
              <w:spacing w:before="60" w:after="60"/>
            </w:pPr>
            <w:r>
              <w:t xml:space="preserve">The overall plan </w:t>
            </w:r>
            <w:r w:rsidR="0065121D">
              <w:t xml:space="preserve">is initially </w:t>
            </w:r>
            <w:r w:rsidR="000548F9">
              <w:t>produced</w:t>
            </w:r>
            <w:r w:rsidR="00DA1C10">
              <w:t xml:space="preserve"> by the </w:t>
            </w:r>
            <w:r w:rsidR="0065121D">
              <w:t>entire</w:t>
            </w:r>
            <w:r w:rsidR="00DA1C10">
              <w:t xml:space="preserve"> team</w:t>
            </w:r>
            <w:r w:rsidR="0065121D">
              <w:t xml:space="preserve">. It is later </w:t>
            </w:r>
            <w:r w:rsidR="00DA1C10">
              <w:t xml:space="preserve">adjusted </w:t>
            </w:r>
            <w:r w:rsidR="0065121D">
              <w:t>as a result of load balancing.</w:t>
            </w:r>
          </w:p>
          <w:p w:rsidR="00DA1C10" w:rsidRDefault="0090542B" w:rsidP="0090542B">
            <w:pPr>
              <w:pStyle w:val="ListParagraph"/>
              <w:numPr>
                <w:ilvl w:val="0"/>
                <w:numId w:val="4"/>
              </w:numPr>
              <w:spacing w:before="60" w:after="60"/>
            </w:pPr>
            <w:r>
              <w:t xml:space="preserve">The bottom-up plan is </w:t>
            </w:r>
            <w:r w:rsidR="00DA1C10">
              <w:t xml:space="preserve">produced by each </w:t>
            </w:r>
            <w:r w:rsidR="00591B3F">
              <w:t>team member</w:t>
            </w:r>
            <w:r w:rsidR="00DA1C10">
              <w:t xml:space="preserve"> for the next phase</w:t>
            </w:r>
            <w:r>
              <w:t>.</w:t>
            </w:r>
          </w:p>
          <w:p w:rsidR="00DA1C10" w:rsidRDefault="0090542B" w:rsidP="0090542B">
            <w:pPr>
              <w:pStyle w:val="ListParagraph"/>
              <w:numPr>
                <w:ilvl w:val="0"/>
                <w:numId w:val="4"/>
              </w:numPr>
              <w:spacing w:before="60" w:after="60"/>
            </w:pPr>
            <w:r>
              <w:t>The b</w:t>
            </w:r>
            <w:r w:rsidR="00DA1C10">
              <w:t>alanced pl</w:t>
            </w:r>
            <w:r>
              <w:t>an is the next-</w:t>
            </w:r>
            <w:r w:rsidR="00DA1C10">
              <w:t xml:space="preserve">phase plan </w:t>
            </w:r>
            <w:r>
              <w:t>that results after load balancing.</w:t>
            </w:r>
            <w:r w:rsidR="00DA1C10">
              <w:t xml:space="preserve"> </w:t>
            </w:r>
          </w:p>
        </w:tc>
      </w:tr>
      <w:tr w:rsidR="00DA1C10" w:rsidTr="0090542B">
        <w:trPr>
          <w:cantSplit/>
        </w:trPr>
        <w:tc>
          <w:tcPr>
            <w:tcW w:w="2304" w:type="dxa"/>
            <w:tcBorders>
              <w:top w:val="single" w:sz="24" w:space="0" w:color="548DD4" w:themeColor="text2" w:themeTint="99"/>
            </w:tcBorders>
          </w:tcPr>
          <w:p w:rsidR="00DA1C10" w:rsidRPr="00B03457" w:rsidRDefault="00DA1C10" w:rsidP="00B03457">
            <w:pPr>
              <w:spacing w:before="60" w:after="60"/>
              <w:rPr>
                <w:b/>
              </w:rPr>
            </w:pPr>
            <w:r w:rsidRPr="00B03457">
              <w:rPr>
                <w:b/>
              </w:rPr>
              <w:t>Requirements</w:t>
            </w:r>
          </w:p>
        </w:tc>
        <w:tc>
          <w:tcPr>
            <w:tcW w:w="7884" w:type="dxa"/>
            <w:tcBorders>
              <w:top w:val="single" w:sz="24" w:space="0" w:color="548DD4" w:themeColor="text2" w:themeTint="99"/>
            </w:tcBorders>
          </w:tcPr>
          <w:p w:rsidR="00DA1C10" w:rsidRDefault="00DA1C10" w:rsidP="0090542B">
            <w:pPr>
              <w:pStyle w:val="ListParagraph"/>
              <w:numPr>
                <w:ilvl w:val="0"/>
                <w:numId w:val="4"/>
              </w:numPr>
              <w:spacing w:before="60" w:after="60"/>
            </w:pPr>
            <w:r>
              <w:t xml:space="preserve">The requirements process depends heavily on the nature of the project, so general guidelines are </w:t>
            </w:r>
            <w:r w:rsidR="0090542B">
              <w:t>not provided in this document</w:t>
            </w:r>
            <w:r>
              <w:t>.</w:t>
            </w:r>
          </w:p>
          <w:p w:rsidR="00DA1C10" w:rsidRDefault="00DA1C10" w:rsidP="0090542B">
            <w:pPr>
              <w:pStyle w:val="ListParagraph"/>
              <w:numPr>
                <w:ilvl w:val="0"/>
                <w:numId w:val="4"/>
              </w:numPr>
              <w:spacing w:before="60" w:after="60"/>
            </w:pPr>
            <w:r>
              <w:t xml:space="preserve">In general, expect that all input materials will have </w:t>
            </w:r>
            <w:r w:rsidR="000B7664">
              <w:t>to be</w:t>
            </w:r>
            <w:r>
              <w:t xml:space="preserve"> inspected and substantially reworked.</w:t>
            </w:r>
          </w:p>
        </w:tc>
      </w:tr>
      <w:tr w:rsidR="00DA1C10" w:rsidTr="00B03457">
        <w:trPr>
          <w:cantSplit/>
        </w:trPr>
        <w:tc>
          <w:tcPr>
            <w:tcW w:w="2304" w:type="dxa"/>
          </w:tcPr>
          <w:p w:rsidR="00DA1C10" w:rsidRPr="00B03457" w:rsidRDefault="00DA1C10" w:rsidP="00B03457">
            <w:pPr>
              <w:spacing w:before="60" w:after="60"/>
              <w:rPr>
                <w:b/>
              </w:rPr>
            </w:pPr>
            <w:r w:rsidRPr="00B03457">
              <w:rPr>
                <w:b/>
              </w:rPr>
              <w:t>Requirements Inspections</w:t>
            </w:r>
          </w:p>
        </w:tc>
        <w:tc>
          <w:tcPr>
            <w:tcW w:w="7884" w:type="dxa"/>
          </w:tcPr>
          <w:p w:rsidR="00DA1C10" w:rsidRDefault="00DA1C10" w:rsidP="0090542B">
            <w:pPr>
              <w:pStyle w:val="ListParagraph"/>
              <w:numPr>
                <w:ilvl w:val="0"/>
                <w:numId w:val="4"/>
              </w:numPr>
              <w:spacing w:before="60" w:after="60"/>
            </w:pPr>
            <w:r>
              <w:t>The QUAL guideline provides a general factor to use in determining the time needed for the requirements inspection.</w:t>
            </w:r>
          </w:p>
          <w:p w:rsidR="00DA1C10" w:rsidRDefault="00DA1C10" w:rsidP="0090542B">
            <w:pPr>
              <w:pStyle w:val="ListParagraph"/>
              <w:numPr>
                <w:ilvl w:val="0"/>
                <w:numId w:val="4"/>
              </w:numPr>
              <w:spacing w:before="60" w:after="60"/>
            </w:pPr>
            <w:r>
              <w:t>If this number is unrealistic for your project and situation, use your best estimate.</w:t>
            </w:r>
          </w:p>
        </w:tc>
      </w:tr>
      <w:tr w:rsidR="00DA1C10" w:rsidTr="00B03457">
        <w:trPr>
          <w:cantSplit/>
        </w:trPr>
        <w:tc>
          <w:tcPr>
            <w:tcW w:w="2304" w:type="dxa"/>
          </w:tcPr>
          <w:p w:rsidR="00DA1C10" w:rsidRPr="00B03457" w:rsidRDefault="0090542B" w:rsidP="00B03457">
            <w:pPr>
              <w:spacing w:before="60" w:after="60"/>
              <w:rPr>
                <w:b/>
              </w:rPr>
            </w:pPr>
            <w:r>
              <w:rPr>
                <w:b/>
              </w:rPr>
              <w:t>High-L</w:t>
            </w:r>
            <w:r w:rsidR="00DA1C10" w:rsidRPr="00B03457">
              <w:rPr>
                <w:b/>
              </w:rPr>
              <w:t>evel Design</w:t>
            </w:r>
          </w:p>
        </w:tc>
        <w:tc>
          <w:tcPr>
            <w:tcW w:w="7884" w:type="dxa"/>
          </w:tcPr>
          <w:p w:rsidR="00DA1C10" w:rsidRDefault="0090542B" w:rsidP="0090542B">
            <w:pPr>
              <w:pStyle w:val="ListParagraph"/>
              <w:numPr>
                <w:ilvl w:val="0"/>
                <w:numId w:val="4"/>
              </w:numPr>
              <w:spacing w:before="60" w:after="60"/>
            </w:pPr>
            <w:r>
              <w:t>General</w:t>
            </w:r>
            <w:r w:rsidR="00DA1C10">
              <w:t xml:space="preserve"> guideline</w:t>
            </w:r>
            <w:r>
              <w:t>s</w:t>
            </w:r>
            <w:r w:rsidR="00DA1C10">
              <w:t xml:space="preserve"> </w:t>
            </w:r>
            <w:r>
              <w:t>are not provided for high-level design</w:t>
            </w:r>
            <w:r w:rsidR="00DA1C10">
              <w:t xml:space="preserve"> because the </w:t>
            </w:r>
            <w:r>
              <w:t>process is highly variable. However,</w:t>
            </w:r>
            <w:r w:rsidR="00DA1C10">
              <w:t xml:space="preserve"> the time required </w:t>
            </w:r>
            <w:r>
              <w:t xml:space="preserve">for high-level design </w:t>
            </w:r>
            <w:r w:rsidR="00DA1C10">
              <w:t>is principally a function of the size, complexity, and general nature of the system</w:t>
            </w:r>
            <w:r>
              <w:t xml:space="preserve"> to be </w:t>
            </w:r>
            <w:r w:rsidR="00803617">
              <w:t>developed</w:t>
            </w:r>
            <w:r w:rsidR="00DA1C10">
              <w:t>.</w:t>
            </w:r>
          </w:p>
          <w:p w:rsidR="00DA1C10" w:rsidRDefault="00DA1C10" w:rsidP="0090542B">
            <w:pPr>
              <w:pStyle w:val="ListParagraph"/>
              <w:numPr>
                <w:ilvl w:val="0"/>
                <w:numId w:val="4"/>
              </w:numPr>
              <w:spacing w:before="60" w:after="60"/>
            </w:pPr>
            <w:r>
              <w:t xml:space="preserve">Without prior data, </w:t>
            </w:r>
            <w:r w:rsidR="0090542B">
              <w:t>many</w:t>
            </w:r>
            <w:r>
              <w:t xml:space="preserve"> teams underestimate the time required for high-level design.</w:t>
            </w:r>
            <w:r w:rsidR="0090542B">
              <w:t xml:space="preserve"> In many cases, the underestimate is substantial.</w:t>
            </w:r>
          </w:p>
        </w:tc>
      </w:tr>
      <w:tr w:rsidR="00DA1C10" w:rsidTr="00D62AA5">
        <w:trPr>
          <w:cantSplit/>
        </w:trPr>
        <w:tc>
          <w:tcPr>
            <w:tcW w:w="2304" w:type="dxa"/>
            <w:tcBorders>
              <w:bottom w:val="single" w:sz="4" w:space="0" w:color="548DD4" w:themeColor="text2" w:themeTint="99"/>
            </w:tcBorders>
          </w:tcPr>
          <w:p w:rsidR="00DA1C10" w:rsidRPr="00B03457" w:rsidRDefault="00DA1C10" w:rsidP="00B03457">
            <w:pPr>
              <w:spacing w:before="60" w:after="60"/>
              <w:rPr>
                <w:b/>
              </w:rPr>
            </w:pPr>
            <w:r w:rsidRPr="00B03457">
              <w:rPr>
                <w:b/>
              </w:rPr>
              <w:t xml:space="preserve">Implementation </w:t>
            </w:r>
            <w:r w:rsidR="0065121D">
              <w:rPr>
                <w:b/>
              </w:rPr>
              <w:br/>
            </w:r>
            <w:r w:rsidRPr="00B03457">
              <w:rPr>
                <w:b/>
              </w:rPr>
              <w:t>Phase</w:t>
            </w:r>
          </w:p>
        </w:tc>
        <w:tc>
          <w:tcPr>
            <w:tcW w:w="7884" w:type="dxa"/>
            <w:tcBorders>
              <w:bottom w:val="single" w:sz="4" w:space="0" w:color="548DD4" w:themeColor="text2" w:themeTint="99"/>
            </w:tcBorders>
          </w:tcPr>
          <w:p w:rsidR="00DA1C10" w:rsidRDefault="00DA1C10" w:rsidP="00B03457">
            <w:pPr>
              <w:spacing w:before="60" w:after="60"/>
            </w:pPr>
            <w:r>
              <w:t>Implementation covers detailed design through unit test.</w:t>
            </w:r>
          </w:p>
          <w:p w:rsidR="00DA1C10" w:rsidRDefault="00DA1C10" w:rsidP="0090542B">
            <w:pPr>
              <w:pStyle w:val="ListParagraph"/>
              <w:numPr>
                <w:ilvl w:val="0"/>
                <w:numId w:val="4"/>
              </w:numPr>
              <w:spacing w:before="60" w:after="60"/>
              <w:ind w:left="756"/>
            </w:pPr>
            <w:r>
              <w:t>Calculate total implementation time from LOC/hour rates.</w:t>
            </w:r>
          </w:p>
          <w:p w:rsidR="00DA1C10" w:rsidRDefault="00DA1C10" w:rsidP="0090542B">
            <w:pPr>
              <w:pStyle w:val="ListParagraph"/>
              <w:numPr>
                <w:ilvl w:val="0"/>
                <w:numId w:val="4"/>
              </w:numPr>
              <w:spacing w:before="60" w:after="60"/>
              <w:ind w:left="756"/>
            </w:pPr>
            <w:r>
              <w:t>New or large modifications: about 10 LOC per hour</w:t>
            </w:r>
          </w:p>
          <w:p w:rsidR="00DA1C10" w:rsidRDefault="00DA1C10" w:rsidP="0090542B">
            <w:pPr>
              <w:pStyle w:val="ListParagraph"/>
              <w:numPr>
                <w:ilvl w:val="0"/>
                <w:numId w:val="4"/>
              </w:numPr>
              <w:spacing w:before="60" w:after="60"/>
              <w:ind w:left="756"/>
            </w:pPr>
            <w:r>
              <w:t xml:space="preserve">Small changes to large systems: about </w:t>
            </w:r>
            <w:r w:rsidR="00803617">
              <w:t>five</w:t>
            </w:r>
            <w:r>
              <w:t xml:space="preserve"> LOC per hour</w:t>
            </w:r>
          </w:p>
          <w:p w:rsidR="00DA1C10" w:rsidRDefault="000548F9" w:rsidP="0090542B">
            <w:pPr>
              <w:pStyle w:val="ListParagraph"/>
              <w:numPr>
                <w:ilvl w:val="0"/>
                <w:numId w:val="4"/>
              </w:numPr>
              <w:spacing w:before="60" w:after="60"/>
              <w:ind w:left="756"/>
            </w:pPr>
            <w:r>
              <w:t>Select a value</w:t>
            </w:r>
            <w:r w:rsidR="00DA1C10">
              <w:t xml:space="preserve"> that seems appropriate for your project.</w:t>
            </w:r>
          </w:p>
          <w:p w:rsidR="00DA1C10" w:rsidRDefault="00DA1C10" w:rsidP="00803617">
            <w:pPr>
              <w:pStyle w:val="ListParagraph"/>
              <w:numPr>
                <w:ilvl w:val="0"/>
                <w:numId w:val="4"/>
              </w:numPr>
              <w:spacing w:before="60" w:after="60"/>
              <w:ind w:left="756"/>
            </w:pPr>
            <w:r>
              <w:t>Maintenance fixes:</w:t>
            </w:r>
            <w:r w:rsidR="00803617">
              <w:t xml:space="preserve"> five</w:t>
            </w:r>
            <w:r>
              <w:t xml:space="preserve"> to 20 hours per fix depending on complexity and degree of testing</w:t>
            </w:r>
            <w:r w:rsidR="00803617">
              <w:t>.</w:t>
            </w:r>
          </w:p>
        </w:tc>
      </w:tr>
      <w:tr w:rsidR="00DA1C10" w:rsidTr="00D62AA5">
        <w:trPr>
          <w:cantSplit/>
        </w:trPr>
        <w:tc>
          <w:tcPr>
            <w:tcW w:w="2304" w:type="dxa"/>
            <w:tcBorders>
              <w:bottom w:val="nil"/>
            </w:tcBorders>
          </w:tcPr>
          <w:p w:rsidR="00DA1C10" w:rsidRPr="00B03457" w:rsidRDefault="00DA1C10" w:rsidP="00B03457">
            <w:pPr>
              <w:spacing w:before="60" w:after="60"/>
              <w:rPr>
                <w:b/>
              </w:rPr>
            </w:pPr>
            <w:r w:rsidRPr="00B03457">
              <w:rPr>
                <w:b/>
              </w:rPr>
              <w:t>Implementation Allocation</w:t>
            </w:r>
          </w:p>
        </w:tc>
        <w:tc>
          <w:tcPr>
            <w:tcW w:w="7884" w:type="dxa"/>
            <w:tcBorders>
              <w:bottom w:val="nil"/>
            </w:tcBorders>
          </w:tcPr>
          <w:p w:rsidR="00DA1C10" w:rsidRDefault="00DA1C10" w:rsidP="00B03457">
            <w:pPr>
              <w:spacing w:before="60" w:after="60"/>
            </w:pPr>
            <w:r>
              <w:t>To estimate the implementation phases, make an overall estimate of implementation based on a LOC/hour rate, then use the following percentages to calculate time allocated to each phase.</w:t>
            </w:r>
          </w:p>
          <w:tbl>
            <w:tblPr>
              <w:tblStyle w:val="TableGrid"/>
              <w:tblW w:w="0" w:type="auto"/>
              <w:tblInd w:w="156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538"/>
              <w:gridCol w:w="1440"/>
            </w:tblGrid>
            <w:tr w:rsidR="00D62AA5" w:rsidTr="00D62AA5">
              <w:tc>
                <w:tcPr>
                  <w:tcW w:w="2538" w:type="dxa"/>
                </w:tcPr>
                <w:p w:rsidR="00D62AA5" w:rsidRDefault="00D62AA5" w:rsidP="00D62AA5">
                  <w:pPr>
                    <w:spacing w:before="40" w:after="40"/>
                  </w:pPr>
                  <w:r>
                    <w:t>Detailed design</w:t>
                  </w:r>
                </w:p>
              </w:tc>
              <w:tc>
                <w:tcPr>
                  <w:tcW w:w="1440" w:type="dxa"/>
                </w:tcPr>
                <w:p w:rsidR="00D62AA5" w:rsidRDefault="00D62AA5" w:rsidP="000548F9">
                  <w:pPr>
                    <w:tabs>
                      <w:tab w:val="decimal" w:pos="504"/>
                    </w:tabs>
                    <w:spacing w:before="40" w:after="40"/>
                  </w:pPr>
                  <w:r>
                    <w:t>22.1%</w:t>
                  </w:r>
                </w:p>
              </w:tc>
            </w:tr>
            <w:tr w:rsidR="00D62AA5" w:rsidTr="00D62AA5">
              <w:tc>
                <w:tcPr>
                  <w:tcW w:w="2538" w:type="dxa"/>
                </w:tcPr>
                <w:p w:rsidR="00D62AA5" w:rsidRDefault="00D62AA5" w:rsidP="00D62AA5">
                  <w:pPr>
                    <w:spacing w:before="40" w:after="40"/>
                  </w:pPr>
                  <w:r>
                    <w:t>Detailed design review</w:t>
                  </w:r>
                </w:p>
              </w:tc>
              <w:tc>
                <w:tcPr>
                  <w:tcW w:w="1440" w:type="dxa"/>
                </w:tcPr>
                <w:p w:rsidR="00D62AA5" w:rsidRDefault="00D62AA5" w:rsidP="000548F9">
                  <w:pPr>
                    <w:tabs>
                      <w:tab w:val="decimal" w:pos="504"/>
                    </w:tabs>
                    <w:spacing w:before="40" w:after="40"/>
                  </w:pPr>
                  <w:r>
                    <w:t>11.1%</w:t>
                  </w:r>
                </w:p>
              </w:tc>
            </w:tr>
            <w:tr w:rsidR="00D62AA5" w:rsidTr="00D62AA5">
              <w:tc>
                <w:tcPr>
                  <w:tcW w:w="2538" w:type="dxa"/>
                </w:tcPr>
                <w:p w:rsidR="00D62AA5" w:rsidRDefault="00D62AA5" w:rsidP="00D62AA5">
                  <w:pPr>
                    <w:spacing w:before="40" w:after="40"/>
                  </w:pPr>
                  <w:r>
                    <w:t>Detailed design inspection</w:t>
                  </w:r>
                </w:p>
              </w:tc>
              <w:tc>
                <w:tcPr>
                  <w:tcW w:w="1440" w:type="dxa"/>
                </w:tcPr>
                <w:p w:rsidR="00D62AA5" w:rsidRDefault="00D62AA5" w:rsidP="000548F9">
                  <w:pPr>
                    <w:tabs>
                      <w:tab w:val="decimal" w:pos="504"/>
                    </w:tabs>
                    <w:spacing w:before="40" w:after="40"/>
                  </w:pPr>
                  <w:r>
                    <w:t>8.8%</w:t>
                  </w:r>
                </w:p>
              </w:tc>
            </w:tr>
            <w:tr w:rsidR="00D62AA5" w:rsidTr="00D62AA5">
              <w:tc>
                <w:tcPr>
                  <w:tcW w:w="2538" w:type="dxa"/>
                </w:tcPr>
                <w:p w:rsidR="00D62AA5" w:rsidRDefault="00D62AA5" w:rsidP="00D62AA5">
                  <w:pPr>
                    <w:spacing w:before="40" w:after="40"/>
                  </w:pPr>
                  <w:r>
                    <w:t>Coding</w:t>
                  </w:r>
                </w:p>
              </w:tc>
              <w:tc>
                <w:tcPr>
                  <w:tcW w:w="1440" w:type="dxa"/>
                </w:tcPr>
                <w:p w:rsidR="00D62AA5" w:rsidRDefault="00D62AA5" w:rsidP="000548F9">
                  <w:pPr>
                    <w:tabs>
                      <w:tab w:val="decimal" w:pos="504"/>
                    </w:tabs>
                    <w:spacing w:before="40" w:after="40"/>
                  </w:pPr>
                  <w:r>
                    <w:t>20.0%</w:t>
                  </w:r>
                </w:p>
              </w:tc>
            </w:tr>
            <w:tr w:rsidR="00D62AA5" w:rsidTr="00D62AA5">
              <w:tc>
                <w:tcPr>
                  <w:tcW w:w="2538" w:type="dxa"/>
                </w:tcPr>
                <w:p w:rsidR="00D62AA5" w:rsidRDefault="00D62AA5" w:rsidP="00D62AA5">
                  <w:pPr>
                    <w:spacing w:before="40" w:after="40"/>
                  </w:pPr>
                  <w:r>
                    <w:t>Code review</w:t>
                  </w:r>
                </w:p>
              </w:tc>
              <w:tc>
                <w:tcPr>
                  <w:tcW w:w="1440" w:type="dxa"/>
                </w:tcPr>
                <w:p w:rsidR="00D62AA5" w:rsidRDefault="00D62AA5" w:rsidP="000548F9">
                  <w:pPr>
                    <w:tabs>
                      <w:tab w:val="decimal" w:pos="504"/>
                    </w:tabs>
                    <w:spacing w:before="40" w:after="40"/>
                  </w:pPr>
                  <w:r>
                    <w:t>10.0%</w:t>
                  </w:r>
                </w:p>
              </w:tc>
            </w:tr>
            <w:tr w:rsidR="00D62AA5" w:rsidTr="00D62AA5">
              <w:tc>
                <w:tcPr>
                  <w:tcW w:w="2538" w:type="dxa"/>
                </w:tcPr>
                <w:p w:rsidR="00D62AA5" w:rsidRDefault="00D62AA5" w:rsidP="00D62AA5">
                  <w:pPr>
                    <w:spacing w:before="40" w:after="40"/>
                  </w:pPr>
                  <w:r>
                    <w:t>Compiling</w:t>
                  </w:r>
                </w:p>
              </w:tc>
              <w:tc>
                <w:tcPr>
                  <w:tcW w:w="1440" w:type="dxa"/>
                </w:tcPr>
                <w:p w:rsidR="00D62AA5" w:rsidRDefault="00D62AA5" w:rsidP="000548F9">
                  <w:pPr>
                    <w:tabs>
                      <w:tab w:val="decimal" w:pos="504"/>
                    </w:tabs>
                    <w:spacing w:before="40" w:after="40"/>
                  </w:pPr>
                  <w:r>
                    <w:t>3.4%</w:t>
                  </w:r>
                </w:p>
              </w:tc>
            </w:tr>
            <w:tr w:rsidR="00D62AA5" w:rsidTr="00D62AA5">
              <w:tc>
                <w:tcPr>
                  <w:tcW w:w="2538" w:type="dxa"/>
                </w:tcPr>
                <w:p w:rsidR="00D62AA5" w:rsidRDefault="00D62AA5" w:rsidP="00D62AA5">
                  <w:pPr>
                    <w:spacing w:before="40" w:after="40"/>
                  </w:pPr>
                  <w:r>
                    <w:t>Code inspection</w:t>
                  </w:r>
                </w:p>
              </w:tc>
              <w:tc>
                <w:tcPr>
                  <w:tcW w:w="1440" w:type="dxa"/>
                </w:tcPr>
                <w:p w:rsidR="00D62AA5" w:rsidRDefault="00D62AA5" w:rsidP="000548F9">
                  <w:pPr>
                    <w:tabs>
                      <w:tab w:val="decimal" w:pos="504"/>
                    </w:tabs>
                    <w:spacing w:before="40" w:after="40"/>
                  </w:pPr>
                  <w:r>
                    <w:t>8.8%</w:t>
                  </w:r>
                </w:p>
              </w:tc>
            </w:tr>
            <w:tr w:rsidR="00D62AA5" w:rsidTr="00D62AA5">
              <w:tc>
                <w:tcPr>
                  <w:tcW w:w="2538" w:type="dxa"/>
                </w:tcPr>
                <w:p w:rsidR="00D62AA5" w:rsidRDefault="00D62AA5" w:rsidP="00D62AA5">
                  <w:pPr>
                    <w:spacing w:before="40" w:after="40"/>
                  </w:pPr>
                  <w:r>
                    <w:t>Unit test</w:t>
                  </w:r>
                </w:p>
              </w:tc>
              <w:tc>
                <w:tcPr>
                  <w:tcW w:w="1440" w:type="dxa"/>
                </w:tcPr>
                <w:p w:rsidR="00D62AA5" w:rsidRDefault="00D62AA5" w:rsidP="000548F9">
                  <w:pPr>
                    <w:tabs>
                      <w:tab w:val="decimal" w:pos="504"/>
                    </w:tabs>
                    <w:spacing w:before="40" w:after="40"/>
                  </w:pPr>
                  <w:r>
                    <w:t>15.8%</w:t>
                  </w:r>
                </w:p>
              </w:tc>
            </w:tr>
          </w:tbl>
          <w:p w:rsidR="00DA1C10" w:rsidRDefault="00DA1C10" w:rsidP="00B03457">
            <w:pPr>
              <w:spacing w:before="60" w:after="60"/>
            </w:pPr>
          </w:p>
        </w:tc>
      </w:tr>
    </w:tbl>
    <w:p w:rsidR="00D62AA5" w:rsidRDefault="00D62AA5"/>
    <w:tbl>
      <w:tblPr>
        <w:tblW w:w="0" w:type="auto"/>
        <w:tblBorders>
          <w:top w:val="single" w:sz="4" w:space="0" w:color="548DD4" w:themeColor="text2" w:themeTint="99"/>
          <w:bottom w:val="single" w:sz="4" w:space="0" w:color="548DD4" w:themeColor="text2" w:themeTint="99"/>
          <w:insideH w:val="single" w:sz="4" w:space="0" w:color="548DD4" w:themeColor="text2" w:themeTint="99"/>
        </w:tblBorders>
        <w:tblLayout w:type="fixed"/>
        <w:tblLook w:val="0000" w:firstRow="0" w:lastRow="0" w:firstColumn="0" w:lastColumn="0" w:noHBand="0" w:noVBand="0"/>
      </w:tblPr>
      <w:tblGrid>
        <w:gridCol w:w="2304"/>
        <w:gridCol w:w="7884"/>
      </w:tblGrid>
      <w:tr w:rsidR="00DA1C10" w:rsidTr="00B03457">
        <w:trPr>
          <w:cantSplit/>
        </w:trPr>
        <w:tc>
          <w:tcPr>
            <w:tcW w:w="2304" w:type="dxa"/>
          </w:tcPr>
          <w:p w:rsidR="00DA1C10" w:rsidRPr="00B03457" w:rsidRDefault="00DA1C10" w:rsidP="00B03457">
            <w:pPr>
              <w:spacing w:before="60" w:after="60"/>
              <w:rPr>
                <w:b/>
              </w:rPr>
            </w:pPr>
            <w:r w:rsidRPr="00B03457">
              <w:rPr>
                <w:b/>
              </w:rPr>
              <w:t xml:space="preserve">Integration and </w:t>
            </w:r>
            <w:r w:rsidR="0065121D">
              <w:rPr>
                <w:b/>
              </w:rPr>
              <w:br/>
            </w:r>
            <w:r w:rsidRPr="00B03457">
              <w:rPr>
                <w:b/>
              </w:rPr>
              <w:t>System Test</w:t>
            </w:r>
          </w:p>
        </w:tc>
        <w:tc>
          <w:tcPr>
            <w:tcW w:w="7884" w:type="dxa"/>
          </w:tcPr>
          <w:p w:rsidR="00DA1C10" w:rsidRDefault="00DA1C10" w:rsidP="00803617">
            <w:pPr>
              <w:spacing w:before="60" w:after="60"/>
            </w:pPr>
            <w:r>
              <w:t xml:space="preserve">For </w:t>
            </w:r>
            <w:r w:rsidR="00803617">
              <w:t>integration and test</w:t>
            </w:r>
            <w:r>
              <w:t xml:space="preserve"> phases, estimate the d</w:t>
            </w:r>
            <w:r w:rsidR="00803617">
              <w:t>efect-free test time. Then, add five</w:t>
            </w:r>
            <w:r>
              <w:t xml:space="preserve"> hours per defect </w:t>
            </w:r>
            <w:r w:rsidR="00803617">
              <w:t>for</w:t>
            </w:r>
            <w:r>
              <w:t xml:space="preserve"> integration test, and 10 hours per defect </w:t>
            </w:r>
            <w:r w:rsidR="00803617">
              <w:t>for</w:t>
            </w:r>
            <w:r>
              <w:t xml:space="preserve"> system test</w:t>
            </w:r>
            <w:r w:rsidR="00B41AA3">
              <w:t>.</w:t>
            </w:r>
          </w:p>
        </w:tc>
      </w:tr>
    </w:tbl>
    <w:p w:rsidR="007D5E1E" w:rsidRDefault="007D5E1E" w:rsidP="00B03457"/>
    <w:sectPr w:rsidR="007D5E1E" w:rsidSect="0065121D">
      <w:footerReference w:type="default" r:id="rId10"/>
      <w:type w:val="nextColumn"/>
      <w:pgSz w:w="12240" w:h="15840"/>
      <w:pgMar w:top="720" w:right="1080" w:bottom="72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041" w:rsidRDefault="00D31041">
      <w:r>
        <w:separator/>
      </w:r>
    </w:p>
  </w:endnote>
  <w:endnote w:type="continuationSeparator" w:id="0">
    <w:p w:rsidR="00D31041" w:rsidRDefault="00D31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42">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26D" w:rsidRPr="00D62AA5" w:rsidRDefault="00D62AA5" w:rsidP="00D62AA5">
    <w:pPr>
      <w:pStyle w:val="Footer"/>
      <w:tabs>
        <w:tab w:val="clear" w:pos="4320"/>
        <w:tab w:val="clear" w:pos="8640"/>
        <w:tab w:val="right" w:pos="10080"/>
      </w:tabs>
      <w:rPr>
        <w:sz w:val="16"/>
        <w:szCs w:val="16"/>
      </w:rPr>
    </w:pPr>
    <w:r>
      <w:rPr>
        <w:sz w:val="16"/>
        <w:szCs w:val="16"/>
      </w:rPr>
      <w:t>December 2012</w:t>
    </w:r>
    <w:r>
      <w:rPr>
        <w:sz w:val="16"/>
        <w:szCs w:val="16"/>
      </w:rPr>
      <w:tab/>
    </w:r>
    <w:r>
      <w:rPr>
        <w:noProof/>
        <w:sz w:val="16"/>
        <w:szCs w:val="16"/>
      </w:rPr>
      <w:t>© 2012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041" w:rsidRDefault="00D31041">
      <w:r>
        <w:separator/>
      </w:r>
    </w:p>
  </w:footnote>
  <w:footnote w:type="continuationSeparator" w:id="0">
    <w:p w:rsidR="00D31041" w:rsidRDefault="00D310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60C4D"/>
    <w:multiLevelType w:val="singleLevel"/>
    <w:tmpl w:val="33883712"/>
    <w:lvl w:ilvl="0">
      <w:numFmt w:val="bullet"/>
      <w:pStyle w:val="TableTextBulletedIndent"/>
      <w:lvlText w:val="-"/>
      <w:lvlJc w:val="left"/>
      <w:pPr>
        <w:tabs>
          <w:tab w:val="num" w:pos="360"/>
        </w:tabs>
        <w:ind w:left="360" w:hanging="360"/>
      </w:pPr>
      <w:rPr>
        <w:rFonts w:hint="default"/>
      </w:rPr>
    </w:lvl>
  </w:abstractNum>
  <w:abstractNum w:abstractNumId="1" w15:restartNumberingAfterBreak="0">
    <w:nsid w:val="1AE86188"/>
    <w:multiLevelType w:val="hybridMultilevel"/>
    <w:tmpl w:val="DF428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3" w15:restartNumberingAfterBreak="0">
    <w:nsid w:val="6368614A"/>
    <w:multiLevelType w:val="hybridMultilevel"/>
    <w:tmpl w:val="A8AC76DE"/>
    <w:lvl w:ilvl="0" w:tplc="C4FA4FAC">
      <w:start w:val="1"/>
      <w:numFmt w:val="bullet"/>
      <w:pStyle w:val="FrmInstBullet1"/>
      <w:lvlText w:val="-"/>
      <w:lvlJc w:val="left"/>
      <w:pPr>
        <w:tabs>
          <w:tab w:val="num" w:pos="360"/>
        </w:tabs>
        <w:ind w:left="180" w:hanging="180"/>
      </w:pPr>
      <w:rPr>
        <w:rFonts w:ascii="font342" w:hAnsi="font34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9CF"/>
    <w:rsid w:val="000548F9"/>
    <w:rsid w:val="000A22C9"/>
    <w:rsid w:val="000B7664"/>
    <w:rsid w:val="00202563"/>
    <w:rsid w:val="0028430C"/>
    <w:rsid w:val="0035791D"/>
    <w:rsid w:val="00591B3F"/>
    <w:rsid w:val="00633FF1"/>
    <w:rsid w:val="0065121D"/>
    <w:rsid w:val="006A7AE5"/>
    <w:rsid w:val="007C7983"/>
    <w:rsid w:val="007D5E1E"/>
    <w:rsid w:val="00803617"/>
    <w:rsid w:val="008079CF"/>
    <w:rsid w:val="008719D0"/>
    <w:rsid w:val="0090542B"/>
    <w:rsid w:val="009624C1"/>
    <w:rsid w:val="00B03457"/>
    <w:rsid w:val="00B41AA3"/>
    <w:rsid w:val="00BD5BED"/>
    <w:rsid w:val="00CE330E"/>
    <w:rsid w:val="00D31041"/>
    <w:rsid w:val="00D62AA5"/>
    <w:rsid w:val="00D74457"/>
    <w:rsid w:val="00DA1C10"/>
    <w:rsid w:val="00DC026D"/>
    <w:rsid w:val="00EF36E6"/>
    <w:rsid w:val="00F3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5B01E4D-B9FD-4CE5-88A4-D63A72A6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457"/>
    <w:rPr>
      <w:rFonts w:asciiTheme="minorHAnsi" w:hAnsiTheme="minorHAnsi"/>
      <w:sz w:val="21"/>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rPr>
      <w:sz w:val="24"/>
    </w:rPr>
  </w:style>
  <w:style w:type="paragraph" w:styleId="BodyTextIndent">
    <w:name w:val="Body Text Indent"/>
    <w:basedOn w:val="Normal"/>
    <w:pPr>
      <w:ind w:left="216" w:hanging="216"/>
    </w:pPr>
    <w:rPr>
      <w:sz w:val="24"/>
    </w:rPr>
  </w:style>
  <w:style w:type="paragraph" w:customStyle="1" w:styleId="FrmInstTitle">
    <w:name w:val="FrmInstTitle"/>
    <w:pPr>
      <w:spacing w:after="120"/>
    </w:pPr>
    <w:rPr>
      <w:rFonts w:ascii="Arial" w:hAnsi="Arial" w:cs="Arial"/>
      <w:b/>
      <w:bCs/>
    </w:rPr>
  </w:style>
  <w:style w:type="paragraph" w:customStyle="1" w:styleId="FrmInstHeading">
    <w:name w:val="FrmInstHeading"/>
    <w:rPr>
      <w:rFonts w:ascii="Arial" w:hAnsi="Arial" w:cs="Arial"/>
      <w:b/>
    </w:rPr>
  </w:style>
  <w:style w:type="paragraph" w:customStyle="1" w:styleId="FrmInstText">
    <w:name w:val="FrmInstText"/>
  </w:style>
  <w:style w:type="paragraph" w:customStyle="1" w:styleId="FrmInstBullet1">
    <w:name w:val="FrmInstBullet1"/>
    <w:basedOn w:val="Normal"/>
    <w:pPr>
      <w:numPr>
        <w:numId w:val="1"/>
      </w:numPr>
      <w:tabs>
        <w:tab w:val="clear" w:pos="360"/>
        <w:tab w:val="left" w:pos="180"/>
      </w:tabs>
    </w:pPr>
  </w:style>
  <w:style w:type="character" w:styleId="FootnoteReference">
    <w:name w:val="footnote reference"/>
    <w:basedOn w:val="DefaultParagraphFont"/>
    <w:semiHidden/>
    <w:rPr>
      <w:vertAlign w:val="superscript"/>
    </w:rPr>
  </w:style>
  <w:style w:type="paragraph" w:customStyle="1" w:styleId="TableTextBulletedIndent">
    <w:name w:val="Table Text Bulleted Indent"/>
    <w:basedOn w:val="Normal"/>
    <w:rsid w:val="009624C1"/>
    <w:pPr>
      <w:numPr>
        <w:numId w:val="2"/>
      </w:numPr>
    </w:pPr>
  </w:style>
  <w:style w:type="paragraph" w:customStyle="1" w:styleId="ScriptTableBullets1">
    <w:name w:val="ScriptTableBullets1"/>
    <w:basedOn w:val="Normal"/>
    <w:rsid w:val="00DA1C10"/>
    <w:pPr>
      <w:numPr>
        <w:numId w:val="3"/>
      </w:numPr>
      <w:tabs>
        <w:tab w:val="left" w:pos="180"/>
      </w:tabs>
    </w:pPr>
  </w:style>
  <w:style w:type="character" w:customStyle="1" w:styleId="FooterChar">
    <w:name w:val="Footer Char"/>
    <w:basedOn w:val="DefaultParagraphFont"/>
    <w:link w:val="Footer"/>
    <w:uiPriority w:val="99"/>
    <w:rsid w:val="00DC026D"/>
  </w:style>
  <w:style w:type="paragraph" w:styleId="ListParagraph">
    <w:name w:val="List Paragraph"/>
    <w:basedOn w:val="Normal"/>
    <w:uiPriority w:val="34"/>
    <w:qFormat/>
    <w:rsid w:val="0090542B"/>
    <w:pPr>
      <w:ind w:left="720"/>
      <w:contextualSpacing/>
    </w:pPr>
  </w:style>
  <w:style w:type="table" w:styleId="TableGrid">
    <w:name w:val="Table Grid"/>
    <w:basedOn w:val="TableNormal"/>
    <w:rsid w:val="00905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9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TSP0 Forms</vt:lpstr>
    </vt:vector>
  </TitlesOfParts>
  <Company>SEI</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TSP0 Forms</dc:title>
  <dc:creator>James Over</dc:creator>
  <cp:lastModifiedBy>wrn_loc_adm</cp:lastModifiedBy>
  <cp:revision>7</cp:revision>
  <cp:lastPrinted>2000-05-30T19:58:00Z</cp:lastPrinted>
  <dcterms:created xsi:type="dcterms:W3CDTF">2012-10-22T17:40:00Z</dcterms:created>
  <dcterms:modified xsi:type="dcterms:W3CDTF">2018-08-31T18:20:00Z</dcterms:modified>
</cp:coreProperties>
</file>